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87" w:rsidRDefault="009D6E87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303"/>
        <w:gridCol w:w="2575"/>
        <w:gridCol w:w="2299"/>
        <w:gridCol w:w="5274"/>
      </w:tblGrid>
      <w:tr w:rsidR="00254435" w:rsidTr="00F4365C">
        <w:trPr>
          <w:trHeight w:val="2393"/>
        </w:trPr>
        <w:tc>
          <w:tcPr>
            <w:tcW w:w="5303" w:type="dxa"/>
          </w:tcPr>
          <w:p w:rsidR="00254435" w:rsidRPr="004B53E7" w:rsidRDefault="00254435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Alchemy Island</w:t>
            </w:r>
          </w:p>
          <w:p w:rsidR="00254435" w:rsidRPr="004B53E7" w:rsidRDefault="00254435" w:rsidP="00446B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435" w:rsidRPr="00CA4CC4" w:rsidRDefault="00CA4CC4" w:rsidP="00CA4CC4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The children will complet</w:t>
            </w:r>
            <w:r w:rsidR="00B762A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e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 xml:space="preserve"> map work where they will be exploring keys, contour lines and grid references. </w:t>
            </w:r>
          </w:p>
          <w:p w:rsidR="00254435" w:rsidRPr="004B53E7" w:rsidRDefault="00254435" w:rsidP="00446B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8" w:type="dxa"/>
            <w:gridSpan w:val="3"/>
          </w:tcPr>
          <w:p w:rsidR="00254435" w:rsidRPr="004B53E7" w:rsidRDefault="00254435" w:rsidP="00D642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Alchemy Island</w:t>
            </w:r>
          </w:p>
          <w:p w:rsidR="00254435" w:rsidRDefault="00254435" w:rsidP="00753F79">
            <w:pPr>
              <w:rPr>
                <w:rFonts w:cstheme="minorHAnsi"/>
                <w:sz w:val="24"/>
                <w:szCs w:val="24"/>
              </w:rPr>
            </w:pPr>
          </w:p>
          <w:p w:rsidR="00753F79" w:rsidRPr="004B53E7" w:rsidRDefault="00753F79" w:rsidP="00753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children will be </w:t>
            </w:r>
            <w:r w:rsidR="00C51E92">
              <w:rPr>
                <w:rFonts w:cstheme="minorHAnsi"/>
                <w:sz w:val="24"/>
                <w:szCs w:val="24"/>
              </w:rPr>
              <w:t>exploring</w:t>
            </w:r>
            <w:r>
              <w:rPr>
                <w:rFonts w:cstheme="minorHAnsi"/>
                <w:sz w:val="24"/>
                <w:szCs w:val="24"/>
              </w:rPr>
              <w:t xml:space="preserve"> different properties found on Alchemy Island and sort them into groups. We will look at different processes such sieving, filtering and evaporation when the materials are mixed together. </w:t>
            </w:r>
            <w:r w:rsidR="006250A3">
              <w:rPr>
                <w:rFonts w:cstheme="minorHAnsi"/>
                <w:sz w:val="24"/>
                <w:szCs w:val="24"/>
              </w:rPr>
              <w:t xml:space="preserve"> We will talk about </w:t>
            </w:r>
            <w:r w:rsidR="002956FE">
              <w:rPr>
                <w:rFonts w:cstheme="minorHAnsi"/>
                <w:sz w:val="24"/>
                <w:szCs w:val="24"/>
              </w:rPr>
              <w:t xml:space="preserve">reversible and irreversible changes. </w:t>
            </w:r>
          </w:p>
        </w:tc>
      </w:tr>
      <w:tr w:rsidR="009D6E87" w:rsidTr="00733F4E">
        <w:tc>
          <w:tcPr>
            <w:tcW w:w="7878" w:type="dxa"/>
            <w:gridSpan w:val="2"/>
          </w:tcPr>
          <w:p w:rsidR="009D6E87" w:rsidRPr="004B53E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F31EAF" w:rsidRPr="004B53E7" w:rsidRDefault="00F31EAF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sz w:val="24"/>
                <w:szCs w:val="24"/>
              </w:rPr>
              <w:t>In Maths this term we will be looking at:</w:t>
            </w:r>
          </w:p>
          <w:p w:rsidR="00F31EAF" w:rsidRDefault="000369A4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Perimeter</w:t>
            </w:r>
          </w:p>
          <w:p w:rsidR="000369A4" w:rsidRDefault="000369A4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Multiples, prime numbers and factors </w:t>
            </w:r>
          </w:p>
          <w:p w:rsidR="000369A4" w:rsidRDefault="000369A4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Square and cube numbers </w:t>
            </w:r>
          </w:p>
          <w:p w:rsidR="000369A4" w:rsidRDefault="000369A4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Multiplying and dividing by 10, 100 and 1000</w:t>
            </w:r>
          </w:p>
          <w:p w:rsidR="000369A4" w:rsidRPr="004B53E7" w:rsidRDefault="000369A4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Grid method/short multiplication</w:t>
            </w:r>
          </w:p>
        </w:tc>
        <w:tc>
          <w:tcPr>
            <w:tcW w:w="7573" w:type="dxa"/>
            <w:gridSpan w:val="2"/>
          </w:tcPr>
          <w:p w:rsidR="009D6E87" w:rsidRPr="004B53E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C27A6F" w:rsidRDefault="0053256C" w:rsidP="00446B8C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English this term we will be reading ‘The Dancing Bear’ and focusing on paragraphs</w:t>
            </w:r>
            <w:r w:rsidR="006461A9">
              <w:rPr>
                <w:rFonts w:asciiTheme="minorHAnsi" w:hAnsiTheme="minorHAnsi" w:cstheme="minorHAnsi"/>
                <w:sz w:val="24"/>
                <w:szCs w:val="24"/>
              </w:rPr>
              <w:t>, relative pronouns and many more SPAG techniques. We will be also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creating our </w:t>
            </w:r>
            <w:r w:rsidR="006461A9">
              <w:rPr>
                <w:rFonts w:asciiTheme="minorHAnsi" w:hAnsiTheme="minorHAnsi" w:cstheme="minorHAnsi"/>
                <w:sz w:val="24"/>
                <w:szCs w:val="24"/>
              </w:rPr>
              <w:t>own story based on the book.</w:t>
            </w:r>
          </w:p>
          <w:p w:rsidR="00C27A6F" w:rsidRPr="004B53E7" w:rsidRDefault="00953C1D" w:rsidP="00C46A6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6E87" w:rsidTr="004B78D8">
        <w:trPr>
          <w:trHeight w:val="1970"/>
        </w:trPr>
        <w:tc>
          <w:tcPr>
            <w:tcW w:w="5303" w:type="dxa"/>
          </w:tcPr>
          <w:p w:rsidR="00F31EAF" w:rsidRPr="004B53E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PE</w:t>
            </w:r>
          </w:p>
          <w:p w:rsidR="00800966" w:rsidRPr="004B53E7" w:rsidRDefault="003E0632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Indoor PE we will be doing</w:t>
            </w:r>
            <w:r w:rsidR="00800966" w:rsidRPr="004B53E7">
              <w:rPr>
                <w:rFonts w:cstheme="minorHAnsi"/>
                <w:sz w:val="24"/>
                <w:szCs w:val="24"/>
              </w:rPr>
              <w:t xml:space="preserve"> </w:t>
            </w:r>
            <w:r w:rsidR="00795C72">
              <w:rPr>
                <w:rFonts w:cstheme="minorHAnsi"/>
                <w:sz w:val="24"/>
                <w:szCs w:val="24"/>
              </w:rPr>
              <w:t xml:space="preserve">netball </w:t>
            </w:r>
            <w:r w:rsidR="00910450">
              <w:rPr>
                <w:rFonts w:cstheme="minorHAnsi"/>
                <w:sz w:val="24"/>
                <w:szCs w:val="24"/>
              </w:rPr>
              <w:t xml:space="preserve">and body balance. </w:t>
            </w:r>
          </w:p>
          <w:p w:rsidR="009D6E87" w:rsidRPr="004B53E7" w:rsidRDefault="00FD53C0" w:rsidP="00446B8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B53E7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shd w:val="clear" w:color="auto" w:fill="C2D69B" w:themeFill="accent3" w:themeFillTint="99"/>
          </w:tcPr>
          <w:p w:rsidR="00733F4E" w:rsidRPr="004B53E7" w:rsidRDefault="00733F4E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D6E87" w:rsidRPr="00790DA8" w:rsidRDefault="00F31EAF" w:rsidP="00446B8C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790DA8">
              <w:rPr>
                <w:rFonts w:cstheme="minorHAnsi"/>
                <w:b/>
                <w:sz w:val="36"/>
                <w:szCs w:val="24"/>
              </w:rPr>
              <w:t>Year 5</w:t>
            </w:r>
          </w:p>
          <w:p w:rsidR="009D6E87" w:rsidRPr="00790DA8" w:rsidRDefault="00733F4E" w:rsidP="00446B8C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790DA8">
              <w:rPr>
                <w:rFonts w:cstheme="minorHAnsi"/>
                <w:b/>
                <w:sz w:val="36"/>
                <w:szCs w:val="24"/>
              </w:rPr>
              <w:t>Curri</w:t>
            </w:r>
            <w:r w:rsidR="009D6E87" w:rsidRPr="00790DA8">
              <w:rPr>
                <w:rFonts w:cstheme="minorHAnsi"/>
                <w:b/>
                <w:sz w:val="36"/>
                <w:szCs w:val="24"/>
              </w:rPr>
              <w:t>culum Overview</w:t>
            </w:r>
          </w:p>
          <w:p w:rsidR="009D6E87" w:rsidRPr="004B53E7" w:rsidRDefault="00F31EAF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DA8">
              <w:rPr>
                <w:rFonts w:cstheme="minorHAnsi"/>
                <w:b/>
                <w:sz w:val="36"/>
                <w:szCs w:val="24"/>
              </w:rPr>
              <w:t>Autumn</w:t>
            </w:r>
            <w:r w:rsidR="009D6E87" w:rsidRPr="00790DA8">
              <w:rPr>
                <w:rFonts w:cstheme="minorHAnsi"/>
                <w:b/>
                <w:sz w:val="36"/>
                <w:szCs w:val="24"/>
              </w:rPr>
              <w:t xml:space="preserve"> Term</w:t>
            </w:r>
            <w:r w:rsidR="004B78D8">
              <w:rPr>
                <w:rFonts w:cstheme="minorHAnsi"/>
                <w:b/>
                <w:sz w:val="36"/>
                <w:szCs w:val="24"/>
              </w:rPr>
              <w:t xml:space="preserve"> 2</w:t>
            </w:r>
          </w:p>
        </w:tc>
        <w:tc>
          <w:tcPr>
            <w:tcW w:w="5274" w:type="dxa"/>
          </w:tcPr>
          <w:p w:rsidR="009D6E8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Computing</w:t>
            </w:r>
            <w:r w:rsidR="002A28FB"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956FE" w:rsidRDefault="002956FE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956FE" w:rsidRPr="002956FE" w:rsidRDefault="002956FE" w:rsidP="002956FE">
            <w:pPr>
              <w:rPr>
                <w:rFonts w:cstheme="minorHAnsi"/>
                <w:sz w:val="24"/>
                <w:szCs w:val="24"/>
              </w:rPr>
            </w:pPr>
          </w:p>
          <w:p w:rsidR="002B7BAA" w:rsidRPr="004B53E7" w:rsidRDefault="002B7BAA" w:rsidP="00C05C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7BAA" w:rsidTr="00930535">
        <w:trPr>
          <w:trHeight w:val="2061"/>
        </w:trPr>
        <w:tc>
          <w:tcPr>
            <w:tcW w:w="5303" w:type="dxa"/>
            <w:tcBorders>
              <w:bottom w:val="single" w:sz="4" w:space="0" w:color="auto"/>
            </w:tcBorders>
          </w:tcPr>
          <w:p w:rsidR="002B7BAA" w:rsidRPr="004B53E7" w:rsidRDefault="005C54D0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PSHE and RSE and Health Education</w:t>
            </w:r>
          </w:p>
          <w:p w:rsidR="004235F0" w:rsidRPr="004B53E7" w:rsidRDefault="004235F0" w:rsidP="00446B8C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  <w:r w:rsidRPr="004B53E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We will</w:t>
            </w:r>
            <w:r w:rsidR="005C54D0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 xml:space="preserve"> be looking at our emotions and </w:t>
            </w:r>
            <w:r w:rsidR="007C1EF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 xml:space="preserve">our </w:t>
            </w:r>
            <w:r w:rsidR="005C54D0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 xml:space="preserve">mental health. </w:t>
            </w:r>
            <w:r w:rsidR="00A2596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 xml:space="preserve"> </w:t>
            </w:r>
          </w:p>
          <w:p w:rsidR="004235F0" w:rsidRPr="004B53E7" w:rsidRDefault="004235F0" w:rsidP="00446B8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</w:p>
          <w:p w:rsidR="002B7BAA" w:rsidRPr="004B53E7" w:rsidRDefault="002B7BAA" w:rsidP="00446B8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vMerge w:val="restart"/>
          </w:tcPr>
          <w:p w:rsidR="002B7BAA" w:rsidRPr="004B53E7" w:rsidRDefault="002B7BAA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Art/DT</w:t>
            </w:r>
            <w:r w:rsidR="002A28FB"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527A">
              <w:rPr>
                <w:rFonts w:cstheme="minorHAnsi"/>
                <w:b/>
                <w:sz w:val="24"/>
                <w:szCs w:val="24"/>
              </w:rPr>
              <w:t>–</w:t>
            </w:r>
            <w:r w:rsidR="002A28FB"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5A4F">
              <w:rPr>
                <w:rFonts w:cstheme="minorHAnsi"/>
                <w:b/>
                <w:sz w:val="24"/>
                <w:szCs w:val="24"/>
              </w:rPr>
              <w:t>Alchemy</w:t>
            </w:r>
            <w:r w:rsidR="001D527A">
              <w:rPr>
                <w:rFonts w:cstheme="minorHAnsi"/>
                <w:b/>
                <w:sz w:val="24"/>
                <w:szCs w:val="24"/>
              </w:rPr>
              <w:t xml:space="preserve"> Island </w:t>
            </w:r>
          </w:p>
          <w:p w:rsidR="002B7BAA" w:rsidRPr="004B53E7" w:rsidRDefault="002B7BAA" w:rsidP="00446B8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</w:p>
          <w:p w:rsidR="00C36C10" w:rsidRDefault="00C36C10" w:rsidP="00C3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are going to look at different types of portals and the children are going to create a portal through different types of media. </w:t>
            </w:r>
          </w:p>
          <w:p w:rsidR="00C36C10" w:rsidRDefault="00C36C10" w:rsidP="00C36C10">
            <w:pPr>
              <w:rPr>
                <w:rFonts w:cstheme="minorHAnsi"/>
                <w:sz w:val="24"/>
                <w:szCs w:val="24"/>
              </w:rPr>
            </w:pPr>
          </w:p>
          <w:p w:rsidR="002B7BAA" w:rsidRPr="004B53E7" w:rsidRDefault="00C36C10" w:rsidP="00C3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children are going to create their own board game based on Alchemy Island. </w:t>
            </w:r>
          </w:p>
        </w:tc>
        <w:tc>
          <w:tcPr>
            <w:tcW w:w="5274" w:type="dxa"/>
            <w:vMerge w:val="restart"/>
          </w:tcPr>
          <w:p w:rsidR="002B7BAA" w:rsidRPr="004B53E7" w:rsidRDefault="002A28FB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RE - </w:t>
            </w:r>
            <w:r w:rsidR="002C2AA7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2B7BAA" w:rsidRPr="004B53E7" w:rsidRDefault="002B7BAA" w:rsidP="00740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sz w:val="24"/>
                <w:szCs w:val="24"/>
              </w:rPr>
              <w:t>In RE this term we will be learning about the</w:t>
            </w:r>
            <w:r w:rsidR="00F4758E">
              <w:rPr>
                <w:rFonts w:cstheme="minorHAnsi"/>
                <w:sz w:val="24"/>
                <w:szCs w:val="24"/>
              </w:rPr>
              <w:t xml:space="preserve"> Christmas story in Christianity. </w:t>
            </w:r>
            <w:r w:rsidRPr="004B53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B7BAA" w:rsidTr="00DC158B">
        <w:trPr>
          <w:trHeight w:val="989"/>
        </w:trPr>
        <w:tc>
          <w:tcPr>
            <w:tcW w:w="5303" w:type="dxa"/>
          </w:tcPr>
          <w:p w:rsidR="002B7BAA" w:rsidRDefault="002A28FB" w:rsidP="0042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46B8C"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42644B" w:rsidRPr="0042644B" w:rsidRDefault="0042644B" w:rsidP="0042644B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We will listen to film music and how it is used to create a mood and effect. </w:t>
            </w:r>
          </w:p>
        </w:tc>
        <w:tc>
          <w:tcPr>
            <w:tcW w:w="4874" w:type="dxa"/>
            <w:gridSpan w:val="2"/>
            <w:vMerge/>
          </w:tcPr>
          <w:p w:rsidR="002B7BAA" w:rsidRPr="00601F0D" w:rsidRDefault="002B7B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:rsidR="002B7BAA" w:rsidRPr="00601F0D" w:rsidRDefault="002B7BAA" w:rsidP="00601F0D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FD53C0" w:rsidRDefault="00FD53C0"/>
    <w:sectPr w:rsidR="00FD53C0" w:rsidSect="009D6E87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04"/>
    <w:multiLevelType w:val="hybridMultilevel"/>
    <w:tmpl w:val="0010E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77CB7"/>
    <w:multiLevelType w:val="hybridMultilevel"/>
    <w:tmpl w:val="AD0A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42C"/>
    <w:multiLevelType w:val="hybridMultilevel"/>
    <w:tmpl w:val="14A0C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92F9C"/>
    <w:multiLevelType w:val="hybridMultilevel"/>
    <w:tmpl w:val="7F0A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5A1D"/>
    <w:multiLevelType w:val="hybridMultilevel"/>
    <w:tmpl w:val="A1688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D64AC"/>
    <w:multiLevelType w:val="hybridMultilevel"/>
    <w:tmpl w:val="C3D43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549D6"/>
    <w:multiLevelType w:val="hybridMultilevel"/>
    <w:tmpl w:val="571E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7"/>
    <w:rsid w:val="000369A4"/>
    <w:rsid w:val="001063ED"/>
    <w:rsid w:val="00142B1B"/>
    <w:rsid w:val="001B17C5"/>
    <w:rsid w:val="001D527A"/>
    <w:rsid w:val="00254435"/>
    <w:rsid w:val="002956FE"/>
    <w:rsid w:val="002A28FB"/>
    <w:rsid w:val="002B7BAA"/>
    <w:rsid w:val="002C2AA7"/>
    <w:rsid w:val="00386506"/>
    <w:rsid w:val="003E0632"/>
    <w:rsid w:val="0040379D"/>
    <w:rsid w:val="004235F0"/>
    <w:rsid w:val="0042644B"/>
    <w:rsid w:val="00446B8C"/>
    <w:rsid w:val="0047537D"/>
    <w:rsid w:val="004B53E7"/>
    <w:rsid w:val="004B78D8"/>
    <w:rsid w:val="005129F4"/>
    <w:rsid w:val="0053256C"/>
    <w:rsid w:val="005652BB"/>
    <w:rsid w:val="0057387C"/>
    <w:rsid w:val="005C54D0"/>
    <w:rsid w:val="00601F0D"/>
    <w:rsid w:val="006250A3"/>
    <w:rsid w:val="006461A9"/>
    <w:rsid w:val="006558F1"/>
    <w:rsid w:val="006743DB"/>
    <w:rsid w:val="006A3B6C"/>
    <w:rsid w:val="006B7B42"/>
    <w:rsid w:val="00733F4E"/>
    <w:rsid w:val="00740620"/>
    <w:rsid w:val="0075195A"/>
    <w:rsid w:val="00753F79"/>
    <w:rsid w:val="00774DAF"/>
    <w:rsid w:val="00790DA8"/>
    <w:rsid w:val="00795C72"/>
    <w:rsid w:val="007B5490"/>
    <w:rsid w:val="007C1EF6"/>
    <w:rsid w:val="00800966"/>
    <w:rsid w:val="00867F46"/>
    <w:rsid w:val="008D44CE"/>
    <w:rsid w:val="00910100"/>
    <w:rsid w:val="00910450"/>
    <w:rsid w:val="0093039C"/>
    <w:rsid w:val="00953C1D"/>
    <w:rsid w:val="009D6E87"/>
    <w:rsid w:val="009F62C8"/>
    <w:rsid w:val="00A25966"/>
    <w:rsid w:val="00A602A3"/>
    <w:rsid w:val="00A8209D"/>
    <w:rsid w:val="00A92738"/>
    <w:rsid w:val="00AC4D9E"/>
    <w:rsid w:val="00AF724E"/>
    <w:rsid w:val="00B149CB"/>
    <w:rsid w:val="00B65A4F"/>
    <w:rsid w:val="00B762A5"/>
    <w:rsid w:val="00BD4993"/>
    <w:rsid w:val="00BF632B"/>
    <w:rsid w:val="00C05CC2"/>
    <w:rsid w:val="00C27A6F"/>
    <w:rsid w:val="00C36C10"/>
    <w:rsid w:val="00C46A6E"/>
    <w:rsid w:val="00C51E92"/>
    <w:rsid w:val="00CA4CC4"/>
    <w:rsid w:val="00CE0461"/>
    <w:rsid w:val="00CE27A6"/>
    <w:rsid w:val="00D642A1"/>
    <w:rsid w:val="00D65242"/>
    <w:rsid w:val="00DB38C3"/>
    <w:rsid w:val="00DB6CE4"/>
    <w:rsid w:val="00DC158B"/>
    <w:rsid w:val="00DD064A"/>
    <w:rsid w:val="00E9107F"/>
    <w:rsid w:val="00EC68D3"/>
    <w:rsid w:val="00F31EAF"/>
    <w:rsid w:val="00F4758E"/>
    <w:rsid w:val="00F80070"/>
    <w:rsid w:val="00FA662A"/>
    <w:rsid w:val="00FD53C0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0314"/>
  <w15:docId w15:val="{D6B1785C-0D83-4CBF-A8EC-2DC83729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E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E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7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Megan Watt</cp:lastModifiedBy>
  <cp:revision>3</cp:revision>
  <cp:lastPrinted>2019-09-03T09:45:00Z</cp:lastPrinted>
  <dcterms:created xsi:type="dcterms:W3CDTF">2021-03-22T16:57:00Z</dcterms:created>
  <dcterms:modified xsi:type="dcterms:W3CDTF">2021-03-24T15:34:00Z</dcterms:modified>
</cp:coreProperties>
</file>