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87" w:rsidRDefault="009D6E87">
      <w:bookmarkStart w:id="0" w:name="_GoBack"/>
      <w:bookmarkEnd w:id="0"/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699"/>
        <w:gridCol w:w="2179"/>
        <w:gridCol w:w="2299"/>
        <w:gridCol w:w="5274"/>
      </w:tblGrid>
      <w:tr w:rsidR="00254435" w:rsidTr="004128FF">
        <w:trPr>
          <w:trHeight w:val="2393"/>
        </w:trPr>
        <w:tc>
          <w:tcPr>
            <w:tcW w:w="5699" w:type="dxa"/>
          </w:tcPr>
          <w:p w:rsidR="00580327" w:rsidRPr="004B53E7" w:rsidRDefault="00254435" w:rsidP="00580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676C">
              <w:rPr>
                <w:rFonts w:cstheme="minorHAnsi"/>
                <w:b/>
                <w:sz w:val="24"/>
                <w:szCs w:val="24"/>
              </w:rPr>
              <w:t>Allotment</w:t>
            </w:r>
          </w:p>
          <w:p w:rsidR="00254435" w:rsidRDefault="00254435" w:rsidP="008B33FC">
            <w:pPr>
              <w:rPr>
                <w:rFonts w:cstheme="minorHAnsi"/>
                <w:sz w:val="24"/>
                <w:szCs w:val="24"/>
              </w:rPr>
            </w:pPr>
          </w:p>
          <w:p w:rsidR="008B33FC" w:rsidRPr="004B53E7" w:rsidRDefault="008B33FC" w:rsidP="004128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Geography, we will be learning about compass points, grid references, map symbols and keys. We will also be </w:t>
            </w:r>
            <w:r w:rsidR="004128FF">
              <w:rPr>
                <w:rFonts w:cstheme="minorHAnsi"/>
                <w:sz w:val="24"/>
                <w:szCs w:val="24"/>
              </w:rPr>
              <w:t>thinking about key aspects of human geography and why land is used in the way it is, and comparing different areas of land.</w:t>
            </w:r>
          </w:p>
        </w:tc>
        <w:tc>
          <w:tcPr>
            <w:tcW w:w="9752" w:type="dxa"/>
            <w:gridSpan w:val="3"/>
          </w:tcPr>
          <w:p w:rsidR="00580327" w:rsidRPr="004B53E7" w:rsidRDefault="00254435" w:rsidP="005803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676C">
              <w:rPr>
                <w:rFonts w:cstheme="minorHAnsi"/>
                <w:b/>
                <w:sz w:val="24"/>
                <w:szCs w:val="24"/>
              </w:rPr>
              <w:t>Allotment</w:t>
            </w:r>
          </w:p>
          <w:p w:rsidR="00753F79" w:rsidRDefault="00753F79" w:rsidP="005E706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128FF" w:rsidRPr="004B53E7" w:rsidRDefault="004128FF" w:rsidP="005E70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Science, we will be learning about the life process</w:t>
            </w:r>
            <w:r w:rsidR="00912A36">
              <w:rPr>
                <w:rFonts w:cstheme="minorHAnsi"/>
                <w:sz w:val="24"/>
                <w:szCs w:val="24"/>
              </w:rPr>
              <w:t xml:space="preserve"> of reproduction in plants and some animals</w:t>
            </w:r>
            <w:r w:rsidR="005C6DA6">
              <w:rPr>
                <w:rFonts w:cstheme="minorHAnsi"/>
                <w:sz w:val="24"/>
                <w:szCs w:val="24"/>
              </w:rPr>
              <w:t xml:space="preserve"> as well as thinking about how the life cycles differ in mammals, amphibians, insects and birds. We will also be </w:t>
            </w:r>
            <w:r w:rsidR="0065035F">
              <w:rPr>
                <w:rFonts w:cstheme="minorHAnsi"/>
                <w:sz w:val="24"/>
                <w:szCs w:val="24"/>
              </w:rPr>
              <w:t>carrying out a simple experiment to explore the germination rate of seeds and think about when different types of fruit and vegetables can be planted.</w:t>
            </w:r>
          </w:p>
        </w:tc>
      </w:tr>
      <w:tr w:rsidR="009D6E87" w:rsidTr="00733F4E">
        <w:tc>
          <w:tcPr>
            <w:tcW w:w="7878" w:type="dxa"/>
            <w:gridSpan w:val="2"/>
          </w:tcPr>
          <w:p w:rsidR="009D6E87" w:rsidRPr="004B53E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F31EAF" w:rsidRPr="004B53E7" w:rsidRDefault="00F31EAF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sz w:val="24"/>
                <w:szCs w:val="24"/>
              </w:rPr>
              <w:t>In Maths this term we will be looking at:</w:t>
            </w:r>
          </w:p>
          <w:p w:rsidR="00F034C0" w:rsidRDefault="0069676C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Estimating volume</w:t>
            </w:r>
          </w:p>
          <w:p w:rsidR="0069676C" w:rsidRDefault="0069676C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Converting units of measure and time</w:t>
            </w:r>
          </w:p>
          <w:p w:rsidR="0069676C" w:rsidRDefault="0069676C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Identifying 3-D shapes</w:t>
            </w:r>
          </w:p>
          <w:p w:rsidR="0069676C" w:rsidRDefault="0069676C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Recognising regular and irregular polygons</w:t>
            </w:r>
          </w:p>
          <w:p w:rsidR="0069676C" w:rsidRDefault="0069676C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Reflection and translation on an axis</w:t>
            </w:r>
          </w:p>
          <w:p w:rsidR="0069676C" w:rsidRPr="004B53E7" w:rsidRDefault="0069676C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Statistics</w:t>
            </w:r>
          </w:p>
        </w:tc>
        <w:tc>
          <w:tcPr>
            <w:tcW w:w="7573" w:type="dxa"/>
            <w:gridSpan w:val="2"/>
          </w:tcPr>
          <w:p w:rsidR="009D6E8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5E706C" w:rsidRDefault="005E706C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F2B00" w:rsidRPr="008F2B00" w:rsidRDefault="008F2B00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English this term,</w:t>
            </w:r>
            <w:r w:rsidR="005E706C">
              <w:rPr>
                <w:rFonts w:cstheme="minorHAnsi"/>
                <w:sz w:val="24"/>
                <w:szCs w:val="24"/>
              </w:rPr>
              <w:t xml:space="preserve"> we </w:t>
            </w:r>
            <w:r w:rsidR="00FB3D8F">
              <w:rPr>
                <w:rFonts w:cstheme="minorHAnsi"/>
                <w:sz w:val="24"/>
                <w:szCs w:val="24"/>
              </w:rPr>
              <w:t>will be writing and performing our own poems.</w:t>
            </w:r>
            <w:r w:rsidR="0069676C">
              <w:rPr>
                <w:rFonts w:cstheme="minorHAnsi"/>
                <w:sz w:val="24"/>
                <w:szCs w:val="24"/>
              </w:rPr>
              <w:t xml:space="preserve"> We will also </w:t>
            </w:r>
            <w:r w:rsidR="008B33FC">
              <w:rPr>
                <w:rFonts w:cstheme="minorHAnsi"/>
                <w:sz w:val="24"/>
                <w:szCs w:val="24"/>
              </w:rPr>
              <w:t>be doing more writing based on videos from Literacy Shed.</w:t>
            </w:r>
          </w:p>
          <w:p w:rsidR="00C27A6F" w:rsidRPr="004B53E7" w:rsidRDefault="00C27A6F" w:rsidP="00C46A6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E87" w:rsidTr="004128FF">
        <w:trPr>
          <w:trHeight w:val="1970"/>
        </w:trPr>
        <w:tc>
          <w:tcPr>
            <w:tcW w:w="5699" w:type="dxa"/>
          </w:tcPr>
          <w:p w:rsidR="00F31EAF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PE</w:t>
            </w:r>
          </w:p>
          <w:p w:rsidR="002260A8" w:rsidRPr="004B53E7" w:rsidRDefault="002260A8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D6E87" w:rsidRPr="004B53E7" w:rsidRDefault="003E0632" w:rsidP="002260A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</w:t>
            </w:r>
            <w:r w:rsidR="002E44F5">
              <w:rPr>
                <w:rFonts w:cstheme="minorHAnsi"/>
                <w:sz w:val="24"/>
                <w:szCs w:val="24"/>
              </w:rPr>
              <w:t>PE</w:t>
            </w:r>
            <w:r w:rsidR="002260A8">
              <w:rPr>
                <w:rFonts w:cstheme="minorHAnsi"/>
                <w:sz w:val="24"/>
                <w:szCs w:val="24"/>
              </w:rPr>
              <w:t xml:space="preserve"> we will be continuing with Body Balance and </w:t>
            </w:r>
            <w:proofErr w:type="gramStart"/>
            <w:r w:rsidR="002260A8">
              <w:rPr>
                <w:rFonts w:cstheme="minorHAnsi"/>
                <w:sz w:val="24"/>
                <w:szCs w:val="24"/>
              </w:rPr>
              <w:t>also</w:t>
            </w:r>
            <w:proofErr w:type="gramEnd"/>
            <w:r w:rsidR="002260A8">
              <w:rPr>
                <w:rFonts w:cstheme="minorHAnsi"/>
                <w:sz w:val="24"/>
                <w:szCs w:val="24"/>
              </w:rPr>
              <w:t xml:space="preserve"> they will be doing Ball Skills outside.</w:t>
            </w:r>
          </w:p>
        </w:tc>
        <w:tc>
          <w:tcPr>
            <w:tcW w:w="4478" w:type="dxa"/>
            <w:gridSpan w:val="2"/>
            <w:shd w:val="clear" w:color="auto" w:fill="C2D69B" w:themeFill="accent3" w:themeFillTint="99"/>
          </w:tcPr>
          <w:p w:rsidR="00733F4E" w:rsidRPr="004B53E7" w:rsidRDefault="00733F4E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D6E87" w:rsidRPr="00790DA8" w:rsidRDefault="00F31EAF" w:rsidP="00446B8C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790DA8">
              <w:rPr>
                <w:rFonts w:cstheme="minorHAnsi"/>
                <w:b/>
                <w:sz w:val="36"/>
                <w:szCs w:val="24"/>
              </w:rPr>
              <w:t>Year 5</w:t>
            </w:r>
          </w:p>
          <w:p w:rsidR="009D6E87" w:rsidRPr="00790DA8" w:rsidRDefault="00733F4E" w:rsidP="00446B8C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790DA8">
              <w:rPr>
                <w:rFonts w:cstheme="minorHAnsi"/>
                <w:b/>
                <w:sz w:val="36"/>
                <w:szCs w:val="24"/>
              </w:rPr>
              <w:t>Curri</w:t>
            </w:r>
            <w:r w:rsidR="009D6E87" w:rsidRPr="00790DA8">
              <w:rPr>
                <w:rFonts w:cstheme="minorHAnsi"/>
                <w:b/>
                <w:sz w:val="36"/>
                <w:szCs w:val="24"/>
              </w:rPr>
              <w:t>culum Overview</w:t>
            </w:r>
          </w:p>
          <w:p w:rsidR="009D6E87" w:rsidRPr="004B53E7" w:rsidRDefault="002E44F5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 xml:space="preserve">Summer Term </w:t>
            </w:r>
            <w:r w:rsidR="0088658F">
              <w:rPr>
                <w:rFonts w:cstheme="minorHAnsi"/>
                <w:b/>
                <w:sz w:val="36"/>
                <w:szCs w:val="24"/>
              </w:rPr>
              <w:t>2</w:t>
            </w:r>
          </w:p>
        </w:tc>
        <w:tc>
          <w:tcPr>
            <w:tcW w:w="5274" w:type="dxa"/>
          </w:tcPr>
          <w:p w:rsidR="009D6E8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Computing</w:t>
            </w:r>
            <w:r w:rsidR="002A28FB"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F2B00" w:rsidRDefault="008F2B00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956FE" w:rsidRPr="002956FE" w:rsidRDefault="008F2B00" w:rsidP="008F2B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Computing, </w:t>
            </w:r>
            <w:r w:rsidR="006D5492">
              <w:rPr>
                <w:rFonts w:cstheme="minorHAnsi"/>
                <w:sz w:val="24"/>
                <w:szCs w:val="24"/>
              </w:rPr>
              <w:t>we will be continuing with our coding unit. We will also be thinking about how we can ensure we are using search technologies effectively.</w:t>
            </w:r>
          </w:p>
          <w:p w:rsidR="002B7BAA" w:rsidRPr="004B53E7" w:rsidRDefault="002B7BAA" w:rsidP="00C05C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40BC" w:rsidTr="004128FF">
        <w:trPr>
          <w:trHeight w:val="3060"/>
        </w:trPr>
        <w:tc>
          <w:tcPr>
            <w:tcW w:w="5699" w:type="dxa"/>
          </w:tcPr>
          <w:p w:rsidR="00ED40BC" w:rsidRDefault="00ED40BC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PSHE and RSE and Health Education</w:t>
            </w:r>
          </w:p>
          <w:p w:rsidR="00ED40BC" w:rsidRPr="004B53E7" w:rsidRDefault="00ED40BC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40BC" w:rsidRPr="004B53E7" w:rsidRDefault="00ED40BC" w:rsidP="00446B8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  <w:r w:rsidRPr="004B53E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We will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 xml:space="preserve"> be </w:t>
            </w:r>
            <w:r w:rsidR="006D549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thinking about taking responsibility and looking to the future. We will also be thinking about our families and how they might be different from someone else’s.</w:t>
            </w:r>
          </w:p>
          <w:p w:rsidR="00ED40BC" w:rsidRPr="004B53E7" w:rsidRDefault="00ED40BC" w:rsidP="00446B8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478" w:type="dxa"/>
            <w:gridSpan w:val="2"/>
          </w:tcPr>
          <w:p w:rsidR="007F1E74" w:rsidRPr="002E50FC" w:rsidRDefault="00ED40BC" w:rsidP="00580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Art/DT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676C">
              <w:rPr>
                <w:rFonts w:cstheme="minorHAnsi"/>
                <w:b/>
                <w:sz w:val="24"/>
                <w:szCs w:val="24"/>
              </w:rPr>
              <w:t>Allotment</w:t>
            </w:r>
          </w:p>
          <w:p w:rsidR="00ED40BC" w:rsidRDefault="00ED40BC" w:rsidP="00446B8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</w:p>
          <w:p w:rsidR="006D5492" w:rsidRPr="006D5492" w:rsidRDefault="006D5492" w:rsidP="00446B8C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This term we will be focussing on botanical drawing and painting as well as creating wire sculptures.</w:t>
            </w:r>
          </w:p>
          <w:p w:rsidR="00ED40BC" w:rsidRPr="004B53E7" w:rsidRDefault="00ED40BC" w:rsidP="00C3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ED40BC" w:rsidRDefault="00ED40BC" w:rsidP="002E44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RE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D40BC" w:rsidRDefault="00ED40BC" w:rsidP="002E44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40BC" w:rsidRPr="004B53E7" w:rsidRDefault="00ED40BC" w:rsidP="002E44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sz w:val="24"/>
                <w:szCs w:val="24"/>
              </w:rPr>
              <w:t xml:space="preserve">In RE this term </w:t>
            </w:r>
            <w:r w:rsidR="00352EEC">
              <w:rPr>
                <w:rFonts w:cstheme="minorHAnsi"/>
                <w:sz w:val="24"/>
                <w:szCs w:val="24"/>
              </w:rPr>
              <w:t>the children are focussing on Sikhism.</w:t>
            </w:r>
          </w:p>
        </w:tc>
      </w:tr>
    </w:tbl>
    <w:p w:rsidR="00FD53C0" w:rsidRDefault="00FD53C0"/>
    <w:sectPr w:rsidR="00FD53C0" w:rsidSect="009D6E87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04"/>
    <w:multiLevelType w:val="hybridMultilevel"/>
    <w:tmpl w:val="0010E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77CB7"/>
    <w:multiLevelType w:val="hybridMultilevel"/>
    <w:tmpl w:val="AD0A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42C"/>
    <w:multiLevelType w:val="hybridMultilevel"/>
    <w:tmpl w:val="14A0C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92F9C"/>
    <w:multiLevelType w:val="hybridMultilevel"/>
    <w:tmpl w:val="7F0A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5A1D"/>
    <w:multiLevelType w:val="hybridMultilevel"/>
    <w:tmpl w:val="A1688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D64AC"/>
    <w:multiLevelType w:val="hybridMultilevel"/>
    <w:tmpl w:val="C3D43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549D6"/>
    <w:multiLevelType w:val="hybridMultilevel"/>
    <w:tmpl w:val="571E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7"/>
    <w:rsid w:val="00031EC1"/>
    <w:rsid w:val="000369A4"/>
    <w:rsid w:val="001063ED"/>
    <w:rsid w:val="00142B1B"/>
    <w:rsid w:val="001B17C5"/>
    <w:rsid w:val="001D527A"/>
    <w:rsid w:val="002260A8"/>
    <w:rsid w:val="00254435"/>
    <w:rsid w:val="002913F1"/>
    <w:rsid w:val="002956FE"/>
    <w:rsid w:val="002A28FB"/>
    <w:rsid w:val="002B7BAA"/>
    <w:rsid w:val="002C2AA7"/>
    <w:rsid w:val="002E44F5"/>
    <w:rsid w:val="002E50FC"/>
    <w:rsid w:val="00352EEC"/>
    <w:rsid w:val="00386506"/>
    <w:rsid w:val="003E0632"/>
    <w:rsid w:val="0040379D"/>
    <w:rsid w:val="004128FF"/>
    <w:rsid w:val="004235F0"/>
    <w:rsid w:val="00424F27"/>
    <w:rsid w:val="0042644B"/>
    <w:rsid w:val="00446B8C"/>
    <w:rsid w:val="0047537D"/>
    <w:rsid w:val="004B1AB3"/>
    <w:rsid w:val="004B53E7"/>
    <w:rsid w:val="004B78D8"/>
    <w:rsid w:val="005129F4"/>
    <w:rsid w:val="0053256C"/>
    <w:rsid w:val="005652BB"/>
    <w:rsid w:val="0057387C"/>
    <w:rsid w:val="00580327"/>
    <w:rsid w:val="005C54D0"/>
    <w:rsid w:val="005C6DA6"/>
    <w:rsid w:val="005E706C"/>
    <w:rsid w:val="00601F0D"/>
    <w:rsid w:val="006250A3"/>
    <w:rsid w:val="006461A9"/>
    <w:rsid w:val="0065035F"/>
    <w:rsid w:val="006558F1"/>
    <w:rsid w:val="006743DB"/>
    <w:rsid w:val="0069676C"/>
    <w:rsid w:val="006A3B6C"/>
    <w:rsid w:val="006B7B42"/>
    <w:rsid w:val="006D5492"/>
    <w:rsid w:val="00733F4E"/>
    <w:rsid w:val="00740620"/>
    <w:rsid w:val="0075195A"/>
    <w:rsid w:val="00753F79"/>
    <w:rsid w:val="00774DAF"/>
    <w:rsid w:val="00790DA8"/>
    <w:rsid w:val="00795C72"/>
    <w:rsid w:val="007B5490"/>
    <w:rsid w:val="007C1EF6"/>
    <w:rsid w:val="007F1E74"/>
    <w:rsid w:val="00800966"/>
    <w:rsid w:val="00867F46"/>
    <w:rsid w:val="0088658F"/>
    <w:rsid w:val="008B33FC"/>
    <w:rsid w:val="008D44CE"/>
    <w:rsid w:val="008F2B00"/>
    <w:rsid w:val="00910100"/>
    <w:rsid w:val="00910450"/>
    <w:rsid w:val="00912A36"/>
    <w:rsid w:val="0093039C"/>
    <w:rsid w:val="00953C1D"/>
    <w:rsid w:val="009D6E87"/>
    <w:rsid w:val="009F62C8"/>
    <w:rsid w:val="00A25966"/>
    <w:rsid w:val="00A602A3"/>
    <w:rsid w:val="00A8209D"/>
    <w:rsid w:val="00A92738"/>
    <w:rsid w:val="00AC4D9E"/>
    <w:rsid w:val="00AF724E"/>
    <w:rsid w:val="00B149CB"/>
    <w:rsid w:val="00B65A4F"/>
    <w:rsid w:val="00B762A5"/>
    <w:rsid w:val="00BD4993"/>
    <w:rsid w:val="00BF632B"/>
    <w:rsid w:val="00C05CC2"/>
    <w:rsid w:val="00C27A6F"/>
    <w:rsid w:val="00C36C10"/>
    <w:rsid w:val="00C46A6E"/>
    <w:rsid w:val="00C51E92"/>
    <w:rsid w:val="00CA4CC4"/>
    <w:rsid w:val="00CE0461"/>
    <w:rsid w:val="00CE27A6"/>
    <w:rsid w:val="00D642A1"/>
    <w:rsid w:val="00D65242"/>
    <w:rsid w:val="00DB38C3"/>
    <w:rsid w:val="00DB6CE4"/>
    <w:rsid w:val="00DC158B"/>
    <w:rsid w:val="00DD064A"/>
    <w:rsid w:val="00E9107F"/>
    <w:rsid w:val="00EC68D3"/>
    <w:rsid w:val="00ED40BC"/>
    <w:rsid w:val="00F034C0"/>
    <w:rsid w:val="00F31EAF"/>
    <w:rsid w:val="00F34905"/>
    <w:rsid w:val="00F4758E"/>
    <w:rsid w:val="00F80070"/>
    <w:rsid w:val="00FA662A"/>
    <w:rsid w:val="00FB3D8F"/>
    <w:rsid w:val="00FD53C0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1785C-0D83-4CBF-A8EC-2DC83729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E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E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7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Megan Watt</cp:lastModifiedBy>
  <cp:revision>2</cp:revision>
  <cp:lastPrinted>2019-09-03T09:45:00Z</cp:lastPrinted>
  <dcterms:created xsi:type="dcterms:W3CDTF">2021-05-12T15:03:00Z</dcterms:created>
  <dcterms:modified xsi:type="dcterms:W3CDTF">2021-05-12T15:03:00Z</dcterms:modified>
</cp:coreProperties>
</file>